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CC2F2">
      <w:pPr>
        <w:keepNext/>
        <w:keepLines/>
        <w:widowControl w:val="0"/>
        <w:spacing w:before="480" w:after="200"/>
        <w:jc w:val="center"/>
        <w:outlineLvl w:val="0"/>
        <w:rPr>
          <w:rFonts w:hint="eastAsia" w:ascii="仿宋" w:hAnsi="仿宋" w:eastAsia="仿宋" w:cs="仿宋"/>
          <w:bCs/>
          <w:color w:val="auto"/>
          <w:sz w:val="40"/>
          <w:szCs w:val="21"/>
          <w:highlight w:val="none"/>
          <w:lang w:val="en-US" w:eastAsia="zh-CN" w:bidi="ar-SA"/>
        </w:rPr>
      </w:pPr>
      <w:r>
        <w:rPr>
          <w:rFonts w:hint="eastAsia" w:ascii="仿宋" w:hAnsi="仿宋" w:eastAsia="仿宋" w:cs="仿宋"/>
          <w:b/>
          <w:bCs/>
          <w:color w:val="auto"/>
          <w:sz w:val="40"/>
          <w:szCs w:val="40"/>
          <w:highlight w:val="none"/>
          <w:lang w:val="en-US" w:eastAsia="zh-CN" w:bidi="ar-SA"/>
        </w:rPr>
        <w:t>采购需求</w:t>
      </w:r>
    </w:p>
    <w:p w14:paraId="1478379F">
      <w:pPr>
        <w:snapToGrid w:val="0"/>
        <w:spacing w:before="120" w:after="120" w:line="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项目属性：服务类项目</w:t>
      </w:r>
    </w:p>
    <w:p w14:paraId="6F11BC99">
      <w:pPr>
        <w:snapToGrid w:val="0"/>
        <w:spacing w:before="120" w:after="120" w:line="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本项目采购标的对应的中小企业划分标准所属行业：</w:t>
      </w:r>
      <w:r>
        <w:rPr>
          <w:rFonts w:hint="eastAsia" w:ascii="仿宋" w:hAnsi="仿宋" w:eastAsia="仿宋" w:cs="仿宋"/>
          <w:color w:val="auto"/>
          <w:sz w:val="24"/>
          <w:szCs w:val="24"/>
          <w:highlight w:val="none"/>
          <w:u w:val="single"/>
          <w:lang w:val="en-US" w:eastAsia="zh-CN"/>
        </w:rPr>
        <w:t xml:space="preserve"> 其他未列明行业 </w:t>
      </w:r>
    </w:p>
    <w:p w14:paraId="173A43AB">
      <w:pPr>
        <w:spacing w:line="0" w:lineRule="atLeast"/>
        <w:rPr>
          <w:rFonts w:hint="eastAsia" w:ascii="仿宋" w:hAnsi="仿宋" w:eastAsia="仿宋" w:cs="仿宋"/>
          <w:bCs/>
          <w:color w:val="auto"/>
          <w:sz w:val="24"/>
          <w:szCs w:val="24"/>
          <w:highlight w:val="none"/>
          <w:u w:val="none"/>
          <w:lang w:val="en-US" w:eastAsia="zh-CN"/>
        </w:rPr>
      </w:pPr>
    </w:p>
    <w:p w14:paraId="5AF41B7A">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kern w:val="2"/>
          <w:sz w:val="24"/>
          <w:szCs w:val="24"/>
          <w:highlight w:val="none"/>
          <w:lang w:val="en-US" w:eastAsia="zh-CN" w:bidi="ar-SA"/>
        </w:rPr>
        <w:t>一、项目概况</w:t>
      </w:r>
    </w:p>
    <w:p w14:paraId="73C1DBC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（一）项目概述</w:t>
      </w:r>
    </w:p>
    <w:p w14:paraId="3E929D87">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贯彻落实中央、省、市巩固拓展脱贫攻坚成果和全面推进乡村振兴有关会议精神， 根据《省政府办公厅关于加快发展商业保险的实施意见》（苏政办发〔2015〕138 号）、《宿迁市人民政府关于加快发展现代保险服务业的实施意见》（宿政发〔2015〕118 号）和区委办公室、区政府办公室《关于实现巩固拓展脱贫攻坚成果同乡村振兴有效衔接的实施方案》（宿区办发〔2021〕46 号）等文件要求，接续做好脱贫攻坚给予的财政保障政策，努力打造巩固拓展脱贫攻坚成果与乡村振兴有效衔接宿城样板。</w:t>
      </w:r>
    </w:p>
    <w:p w14:paraId="164192D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为宿城区“十四五”期间所有建档立卡低收入人口购买小额人身及财产保险，解决低收入农户因突发意外伤害所造成的损失，防止因意外伤害造成农户返贫。</w:t>
      </w:r>
    </w:p>
    <w:p w14:paraId="1E3D59C7">
      <w:pPr>
        <w:widowControl w:val="0"/>
        <w:bidi w:val="0"/>
        <w:spacing w:line="500" w:lineRule="exact"/>
        <w:ind w:firstLine="480" w:firstLineChars="2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本次采购内容为</w:t>
      </w:r>
      <w:r>
        <w:rPr>
          <w:rFonts w:hint="eastAsia" w:ascii="仿宋" w:hAnsi="仿宋" w:eastAsia="仿宋" w:cs="仿宋"/>
          <w:color w:val="auto"/>
          <w:kern w:val="2"/>
          <w:sz w:val="24"/>
          <w:szCs w:val="24"/>
          <w:highlight w:val="none"/>
          <w:u w:val="single"/>
          <w:lang w:val="en-US" w:eastAsia="zh-CN" w:bidi="ar-SA"/>
        </w:rPr>
        <w:t xml:space="preserve"> 宿城区2025年度农村小额人身及财产保险采购项目 </w:t>
      </w:r>
      <w:r>
        <w:rPr>
          <w:rFonts w:hint="eastAsia" w:ascii="仿宋" w:hAnsi="仿宋" w:eastAsia="仿宋" w:cs="仿宋"/>
          <w:color w:val="auto"/>
          <w:kern w:val="2"/>
          <w:sz w:val="24"/>
          <w:szCs w:val="24"/>
          <w:highlight w:val="none"/>
          <w:lang w:val="en-US" w:eastAsia="zh-CN" w:bidi="ar-SA"/>
        </w:rPr>
        <w:t>。本项目预算价为</w:t>
      </w:r>
      <w:r>
        <w:rPr>
          <w:rFonts w:hint="eastAsia" w:ascii="仿宋" w:hAnsi="仿宋" w:eastAsia="仿宋" w:cs="仿宋"/>
          <w:color w:val="auto"/>
          <w:kern w:val="2"/>
          <w:sz w:val="24"/>
          <w:szCs w:val="24"/>
          <w:highlight w:val="none"/>
          <w:u w:val="single"/>
          <w:lang w:val="en-US" w:eastAsia="zh-CN" w:bidi="ar-SA"/>
        </w:rPr>
        <w:t xml:space="preserve"> 160 </w:t>
      </w:r>
      <w:r>
        <w:rPr>
          <w:rFonts w:hint="eastAsia" w:ascii="仿宋" w:hAnsi="仿宋" w:eastAsia="仿宋" w:cs="仿宋"/>
          <w:color w:val="auto"/>
          <w:kern w:val="2"/>
          <w:sz w:val="24"/>
          <w:szCs w:val="24"/>
          <w:highlight w:val="none"/>
          <w:lang w:val="en-US" w:eastAsia="zh-CN" w:bidi="ar-SA"/>
        </w:rPr>
        <w:t>万元，最高限价为</w:t>
      </w:r>
      <w:r>
        <w:rPr>
          <w:rFonts w:hint="eastAsia" w:ascii="仿宋" w:hAnsi="仿宋" w:eastAsia="仿宋" w:cs="仿宋"/>
          <w:color w:val="auto"/>
          <w:kern w:val="2"/>
          <w:sz w:val="24"/>
          <w:szCs w:val="24"/>
          <w:highlight w:val="none"/>
          <w:u w:val="single"/>
          <w:lang w:val="en-US" w:eastAsia="zh-CN" w:bidi="ar-SA"/>
        </w:rPr>
        <w:t xml:space="preserve">160 </w:t>
      </w:r>
      <w:r>
        <w:rPr>
          <w:rFonts w:hint="eastAsia" w:ascii="仿宋" w:hAnsi="仿宋" w:eastAsia="仿宋" w:cs="仿宋"/>
          <w:color w:val="auto"/>
          <w:kern w:val="2"/>
          <w:sz w:val="24"/>
          <w:szCs w:val="24"/>
          <w:highlight w:val="none"/>
          <w:lang w:val="en-US" w:eastAsia="zh-CN" w:bidi="ar-SA"/>
        </w:rPr>
        <w:t>万元。</w:t>
      </w:r>
    </w:p>
    <w:p w14:paraId="0814FA49">
      <w:pPr>
        <w:keepNext w:val="0"/>
        <w:keepLines w:val="0"/>
        <w:pageBreakBefore w:val="0"/>
        <w:widowControl w:val="0"/>
        <w:kinsoku/>
        <w:wordWrap/>
        <w:overflowPunct/>
        <w:topLinePunct w:val="0"/>
        <w:autoSpaceDE/>
        <w:autoSpaceDN/>
        <w:bidi w:val="0"/>
        <w:adjustRightInd/>
        <w:snapToGrid/>
        <w:spacing w:line="500" w:lineRule="exact"/>
        <w:ind w:firstLine="482" w:firstLineChars="200"/>
        <w:jc w:val="both"/>
        <w:textAlignment w:val="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kern w:val="2"/>
          <w:sz w:val="24"/>
          <w:szCs w:val="24"/>
          <w:highlight w:val="none"/>
          <w:lang w:val="en-US" w:eastAsia="zh-CN" w:bidi="ar-SA"/>
        </w:rPr>
        <w:t>二、合同履约期限及地点</w:t>
      </w:r>
    </w:p>
    <w:p w14:paraId="6AEDFB78">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服务期：1年，2025年1月1日至2025年12月31日。</w:t>
      </w:r>
    </w:p>
    <w:p w14:paraId="08549A47">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服务地点：宿迁市宿城区，具体由采购人指定。</w:t>
      </w:r>
    </w:p>
    <w:p w14:paraId="377C88B9">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三、付款方式</w:t>
      </w:r>
    </w:p>
    <w:p w14:paraId="48645249">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对于满足合同约定支付条件的，自收到发票后10个工作日内将资金支付到合同约定的供应商账户或供应商数字人民币账户。</w:t>
      </w:r>
    </w:p>
    <w:p w14:paraId="5587A42F">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签订合同且收到发票后 10 个工作日内，支付30%的合同款作为预付款；按年支付全额保险费，采购人在签订合同一个月后支付（保险费=参保人数*XXX元/人/年，扣除预付款）。</w:t>
      </w:r>
    </w:p>
    <w:p w14:paraId="297161F0">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注：在签订合同时，成交人明确表示无需预付款或者主动要求降低预付款比例的金额，采购人可不适用预付款规定。</w:t>
      </w:r>
    </w:p>
    <w:p w14:paraId="71D5529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kern w:val="2"/>
          <w:sz w:val="24"/>
          <w:szCs w:val="22"/>
          <w:highlight w:val="none"/>
          <w:lang w:val="en-US" w:eastAsia="zh-CN" w:bidi="ar-SA"/>
        </w:rPr>
        <w:t>四、</w:t>
      </w:r>
      <w:r>
        <w:rPr>
          <w:rFonts w:hint="eastAsia" w:ascii="仿宋" w:hAnsi="仿宋" w:eastAsia="仿宋" w:cs="仿宋"/>
          <w:b/>
          <w:color w:val="auto"/>
          <w:kern w:val="2"/>
          <w:sz w:val="24"/>
          <w:szCs w:val="24"/>
          <w:highlight w:val="none"/>
          <w:lang w:val="en-US" w:eastAsia="zh-CN" w:bidi="ar-SA"/>
        </w:rPr>
        <w:t>保险内容</w:t>
      </w:r>
    </w:p>
    <w:p w14:paraId="3CC310A6">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（一）保障标准</w:t>
      </w:r>
    </w:p>
    <w:p w14:paraId="0D12196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保障对象为宿城区“十四五”识别低收入人口 (含四类人员) ，承保出生 28 天以上所有人群全部纳入保障范围，其中意外伤害包含自然灾害。</w:t>
      </w:r>
    </w:p>
    <w:p w14:paraId="5BB40766">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（二）保险补偿标准：</w:t>
      </w:r>
    </w:p>
    <w:p w14:paraId="65BC31FF">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1.被保险人因意外伤害造成死亡的，赔偿 5 万元每人，若因意外伤害造成被保险人残疾，根据《人身保险伤残评定标准（行业标准）》的规定，按该处伤残等级所对应的保险金给付比例赔付伤残保险金，最高赔付 5 万元。</w:t>
      </w:r>
    </w:p>
    <w:p w14:paraId="3C394841">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2.被保险人因意外伤害在二级以上（含二级）医院诊疗（包含门诊和住院），对被保险人实际支出的符合社保支付范围的医疗费用予以补偿，按照 90%赔付，最高补偿 1 万元。</w:t>
      </w:r>
    </w:p>
    <w:p w14:paraId="58C1621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3.投保等待期 60 天后初次发生并经专科医生明确诊断患条款规定的 40 种重大疾病，一次性赔付 3 万元重大疾病保险金。</w:t>
      </w:r>
    </w:p>
    <w:p w14:paraId="5D7A29B2">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4.因水灾、火灾等自然灾害，按房屋和财产的实际损失程度赔付，每户不超过20000 元。</w:t>
      </w:r>
    </w:p>
    <w:tbl>
      <w:tblPr>
        <w:tblStyle w:val="2"/>
        <w:tblpPr w:leftFromText="180" w:rightFromText="180" w:vertAnchor="text" w:tblpXSpec="center" w:tblpY="1"/>
        <w:tblOverlap w:val="never"/>
        <w:tblW w:w="906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7"/>
        <w:gridCol w:w="2525"/>
        <w:gridCol w:w="2407"/>
        <w:gridCol w:w="2561"/>
      </w:tblGrid>
      <w:tr w14:paraId="5F39B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567" w:type="dxa"/>
            <w:tcBorders>
              <w:bottom w:val="single" w:color="000000" w:sz="6" w:space="0"/>
              <w:right w:val="single" w:color="000000" w:sz="6" w:space="0"/>
            </w:tcBorders>
            <w:shd w:val="clear" w:color="auto" w:fill="FFFFFF"/>
            <w:noWrap w:val="0"/>
            <w:vAlign w:val="center"/>
          </w:tcPr>
          <w:p w14:paraId="6D03015E">
            <w:pPr>
              <w:widowControl w:val="0"/>
              <w:spacing w:before="201" w:line="280" w:lineRule="exact"/>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投保人</w:t>
            </w:r>
          </w:p>
        </w:tc>
        <w:tc>
          <w:tcPr>
            <w:tcW w:w="2525" w:type="dxa"/>
            <w:tcBorders>
              <w:left w:val="single" w:color="000000" w:sz="6" w:space="0"/>
              <w:bottom w:val="single" w:color="000000" w:sz="6" w:space="0"/>
              <w:right w:val="single" w:color="000000" w:sz="6" w:space="0"/>
            </w:tcBorders>
            <w:shd w:val="clear" w:color="auto" w:fill="FFFFFF"/>
            <w:noWrap w:val="0"/>
            <w:vAlign w:val="center"/>
          </w:tcPr>
          <w:p w14:paraId="650CD9B1">
            <w:pPr>
              <w:widowControl w:val="0"/>
              <w:spacing w:before="201" w:line="280" w:lineRule="exact"/>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保险责任</w:t>
            </w:r>
          </w:p>
        </w:tc>
        <w:tc>
          <w:tcPr>
            <w:tcW w:w="2407" w:type="dxa"/>
            <w:tcBorders>
              <w:left w:val="single" w:color="000000" w:sz="6" w:space="0"/>
              <w:bottom w:val="single" w:color="000000" w:sz="6" w:space="0"/>
              <w:right w:val="single" w:color="000000" w:sz="6" w:space="0"/>
            </w:tcBorders>
            <w:shd w:val="clear" w:color="auto" w:fill="FFFFFF"/>
            <w:noWrap w:val="0"/>
            <w:vAlign w:val="center"/>
          </w:tcPr>
          <w:p w14:paraId="7E2E51DE">
            <w:pPr>
              <w:widowControl w:val="0"/>
              <w:spacing w:before="201" w:line="280" w:lineRule="exact"/>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保障额度（元）</w:t>
            </w:r>
          </w:p>
        </w:tc>
        <w:tc>
          <w:tcPr>
            <w:tcW w:w="2561" w:type="dxa"/>
            <w:tcBorders>
              <w:left w:val="single" w:color="000000" w:sz="6" w:space="0"/>
              <w:bottom w:val="single" w:color="000000" w:sz="6" w:space="0"/>
            </w:tcBorders>
            <w:shd w:val="clear" w:color="auto" w:fill="FFFFFF"/>
            <w:noWrap w:val="0"/>
            <w:vAlign w:val="center"/>
          </w:tcPr>
          <w:p w14:paraId="2F641D6C">
            <w:pPr>
              <w:widowControl w:val="0"/>
              <w:spacing w:before="201" w:line="280" w:lineRule="exact"/>
              <w:ind w:left="584"/>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保险费（元/人）</w:t>
            </w:r>
          </w:p>
        </w:tc>
      </w:tr>
      <w:tr w14:paraId="40D89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567" w:type="dxa"/>
            <w:vMerge w:val="restart"/>
            <w:tcBorders>
              <w:top w:val="single" w:color="000000" w:sz="6" w:space="0"/>
              <w:bottom w:val="single" w:color="000000" w:sz="6" w:space="0"/>
              <w:right w:val="single" w:color="000000" w:sz="6" w:space="0"/>
            </w:tcBorders>
            <w:shd w:val="clear" w:color="auto" w:fill="FFFFFF"/>
            <w:noWrap w:val="0"/>
            <w:vAlign w:val="center"/>
          </w:tcPr>
          <w:p w14:paraId="4DD0F89B">
            <w:pPr>
              <w:widowControl w:val="0"/>
              <w:spacing w:line="439" w:lineRule="auto"/>
              <w:ind w:right="14"/>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所有低收入人口</w:t>
            </w:r>
          </w:p>
        </w:tc>
        <w:tc>
          <w:tcPr>
            <w:tcW w:w="252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C227C66">
            <w:pPr>
              <w:widowControl w:val="0"/>
              <w:spacing w:before="201"/>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意外死亡</w:t>
            </w:r>
          </w:p>
        </w:tc>
        <w:tc>
          <w:tcPr>
            <w:tcW w:w="24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2E10E3EB">
            <w:pPr>
              <w:widowControl w:val="0"/>
              <w:spacing w:before="201"/>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5 万/人</w:t>
            </w:r>
          </w:p>
        </w:tc>
        <w:tc>
          <w:tcPr>
            <w:tcW w:w="2561" w:type="dxa"/>
            <w:vMerge w:val="restart"/>
            <w:tcBorders>
              <w:top w:val="single" w:color="000000" w:sz="6" w:space="0"/>
              <w:left w:val="single" w:color="000000" w:sz="6" w:space="0"/>
              <w:bottom w:val="single" w:color="000000" w:sz="6" w:space="0"/>
            </w:tcBorders>
            <w:shd w:val="clear" w:color="auto" w:fill="FFFFFF"/>
            <w:noWrap w:val="0"/>
            <w:vAlign w:val="center"/>
          </w:tcPr>
          <w:p w14:paraId="76C5909B">
            <w:pPr>
              <w:widowControl w:val="0"/>
              <w:ind w:left="584"/>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XX 元/人</w:t>
            </w:r>
          </w:p>
        </w:tc>
      </w:tr>
      <w:tr w14:paraId="176E7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1567" w:type="dxa"/>
            <w:vMerge w:val="continue"/>
            <w:tcBorders>
              <w:top w:val="nil"/>
              <w:bottom w:val="single" w:color="000000" w:sz="6" w:space="0"/>
              <w:right w:val="single" w:color="000000" w:sz="6" w:space="0"/>
            </w:tcBorders>
            <w:shd w:val="clear" w:color="auto" w:fill="FFFFFF"/>
            <w:noWrap w:val="0"/>
            <w:vAlign w:val="center"/>
          </w:tcPr>
          <w:p w14:paraId="3364B09E">
            <w:pPr>
              <w:widowControl w:val="0"/>
              <w:jc w:val="both"/>
              <w:rPr>
                <w:rFonts w:hint="eastAsia" w:ascii="仿宋" w:hAnsi="仿宋" w:eastAsia="仿宋" w:cs="仿宋"/>
                <w:kern w:val="2"/>
                <w:sz w:val="24"/>
                <w:szCs w:val="24"/>
                <w:highlight w:val="none"/>
                <w:lang w:val="en-US" w:eastAsia="zh-CN" w:bidi="ar-SA"/>
              </w:rPr>
            </w:pPr>
          </w:p>
        </w:tc>
        <w:tc>
          <w:tcPr>
            <w:tcW w:w="252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19EE258">
            <w:pPr>
              <w:widowControl w:val="0"/>
              <w:spacing w:before="203"/>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意外残疾</w:t>
            </w:r>
          </w:p>
        </w:tc>
        <w:tc>
          <w:tcPr>
            <w:tcW w:w="24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0751D293">
            <w:pPr>
              <w:widowControl w:val="0"/>
              <w:spacing w:before="203"/>
              <w:ind w:left="585"/>
              <w:jc w:val="both"/>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5 万/人</w:t>
            </w:r>
          </w:p>
        </w:tc>
        <w:tc>
          <w:tcPr>
            <w:tcW w:w="2561" w:type="dxa"/>
            <w:vMerge w:val="continue"/>
            <w:tcBorders>
              <w:top w:val="nil"/>
              <w:left w:val="single" w:color="000000" w:sz="6" w:space="0"/>
              <w:bottom w:val="single" w:color="000000" w:sz="6" w:space="0"/>
            </w:tcBorders>
            <w:shd w:val="clear" w:color="auto" w:fill="FFFFFF"/>
            <w:noWrap w:val="0"/>
            <w:vAlign w:val="center"/>
          </w:tcPr>
          <w:p w14:paraId="7628D129">
            <w:pPr>
              <w:widowControl w:val="0"/>
              <w:jc w:val="both"/>
              <w:rPr>
                <w:rFonts w:hint="eastAsia" w:ascii="仿宋" w:hAnsi="仿宋" w:eastAsia="仿宋" w:cs="仿宋"/>
                <w:kern w:val="2"/>
                <w:sz w:val="24"/>
                <w:szCs w:val="24"/>
                <w:highlight w:val="none"/>
                <w:lang w:val="en-US" w:eastAsia="zh-CN" w:bidi="ar-SA"/>
              </w:rPr>
            </w:pPr>
          </w:p>
        </w:tc>
      </w:tr>
      <w:tr w14:paraId="1FA98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1567" w:type="dxa"/>
            <w:vMerge w:val="continue"/>
            <w:tcBorders>
              <w:top w:val="nil"/>
              <w:bottom w:val="single" w:color="000000" w:sz="6" w:space="0"/>
              <w:right w:val="single" w:color="000000" w:sz="6" w:space="0"/>
            </w:tcBorders>
            <w:shd w:val="clear" w:color="auto" w:fill="FFFFFF"/>
            <w:noWrap w:val="0"/>
            <w:vAlign w:val="center"/>
          </w:tcPr>
          <w:p w14:paraId="75C29A8F">
            <w:pPr>
              <w:widowControl w:val="0"/>
              <w:jc w:val="both"/>
              <w:rPr>
                <w:rFonts w:hint="eastAsia" w:ascii="仿宋" w:hAnsi="仿宋" w:eastAsia="仿宋" w:cs="仿宋"/>
                <w:kern w:val="2"/>
                <w:sz w:val="24"/>
                <w:szCs w:val="24"/>
                <w:highlight w:val="none"/>
                <w:lang w:val="en-US" w:eastAsia="zh-CN" w:bidi="ar-SA"/>
              </w:rPr>
            </w:pPr>
          </w:p>
        </w:tc>
        <w:tc>
          <w:tcPr>
            <w:tcW w:w="252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E5C407E">
            <w:pPr>
              <w:widowControl w:val="0"/>
              <w:spacing w:before="201"/>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意外医疗</w:t>
            </w:r>
          </w:p>
        </w:tc>
        <w:tc>
          <w:tcPr>
            <w:tcW w:w="24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4A6576EB">
            <w:pPr>
              <w:widowControl w:val="0"/>
              <w:spacing w:before="201"/>
              <w:ind w:left="585"/>
              <w:jc w:val="both"/>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1 万/人</w:t>
            </w:r>
          </w:p>
        </w:tc>
        <w:tc>
          <w:tcPr>
            <w:tcW w:w="2561" w:type="dxa"/>
            <w:vMerge w:val="continue"/>
            <w:tcBorders>
              <w:top w:val="nil"/>
              <w:left w:val="single" w:color="000000" w:sz="6" w:space="0"/>
              <w:bottom w:val="single" w:color="000000" w:sz="6" w:space="0"/>
            </w:tcBorders>
            <w:shd w:val="clear" w:color="auto" w:fill="FFFFFF"/>
            <w:noWrap w:val="0"/>
            <w:vAlign w:val="center"/>
          </w:tcPr>
          <w:p w14:paraId="7F68F1B6">
            <w:pPr>
              <w:widowControl w:val="0"/>
              <w:jc w:val="both"/>
              <w:rPr>
                <w:rFonts w:hint="eastAsia" w:ascii="仿宋" w:hAnsi="仿宋" w:eastAsia="仿宋" w:cs="仿宋"/>
                <w:kern w:val="2"/>
                <w:sz w:val="24"/>
                <w:szCs w:val="24"/>
                <w:highlight w:val="none"/>
                <w:lang w:val="en-US" w:eastAsia="zh-CN" w:bidi="ar-SA"/>
              </w:rPr>
            </w:pPr>
          </w:p>
        </w:tc>
      </w:tr>
      <w:tr w14:paraId="74C62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1567" w:type="dxa"/>
            <w:vMerge w:val="continue"/>
            <w:tcBorders>
              <w:top w:val="nil"/>
              <w:bottom w:val="single" w:color="000000" w:sz="6" w:space="0"/>
              <w:right w:val="single" w:color="000000" w:sz="6" w:space="0"/>
            </w:tcBorders>
            <w:shd w:val="clear" w:color="auto" w:fill="FFFFFF"/>
            <w:noWrap w:val="0"/>
            <w:vAlign w:val="center"/>
          </w:tcPr>
          <w:p w14:paraId="1A23C1EA">
            <w:pPr>
              <w:widowControl w:val="0"/>
              <w:jc w:val="both"/>
              <w:rPr>
                <w:rFonts w:hint="eastAsia" w:ascii="仿宋" w:hAnsi="仿宋" w:eastAsia="仿宋" w:cs="仿宋"/>
                <w:kern w:val="2"/>
                <w:sz w:val="24"/>
                <w:szCs w:val="24"/>
                <w:highlight w:val="none"/>
                <w:lang w:val="en-US" w:eastAsia="zh-CN" w:bidi="ar-SA"/>
              </w:rPr>
            </w:pPr>
          </w:p>
        </w:tc>
        <w:tc>
          <w:tcPr>
            <w:tcW w:w="252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3D239071">
            <w:pPr>
              <w:widowControl w:val="0"/>
              <w:spacing w:before="201"/>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重大疾病</w:t>
            </w:r>
          </w:p>
        </w:tc>
        <w:tc>
          <w:tcPr>
            <w:tcW w:w="24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529E6B2D">
            <w:pPr>
              <w:widowControl w:val="0"/>
              <w:spacing w:before="201"/>
              <w:ind w:left="585"/>
              <w:jc w:val="both"/>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3 万/人</w:t>
            </w:r>
          </w:p>
        </w:tc>
        <w:tc>
          <w:tcPr>
            <w:tcW w:w="2561" w:type="dxa"/>
            <w:vMerge w:val="continue"/>
            <w:tcBorders>
              <w:top w:val="nil"/>
              <w:left w:val="single" w:color="000000" w:sz="6" w:space="0"/>
              <w:bottom w:val="single" w:color="000000" w:sz="6" w:space="0"/>
            </w:tcBorders>
            <w:shd w:val="clear" w:color="auto" w:fill="FFFFFF"/>
            <w:noWrap w:val="0"/>
            <w:vAlign w:val="center"/>
          </w:tcPr>
          <w:p w14:paraId="1357330B">
            <w:pPr>
              <w:widowControl w:val="0"/>
              <w:jc w:val="both"/>
              <w:rPr>
                <w:rFonts w:hint="eastAsia" w:ascii="仿宋" w:hAnsi="仿宋" w:eastAsia="仿宋" w:cs="仿宋"/>
                <w:kern w:val="2"/>
                <w:sz w:val="24"/>
                <w:szCs w:val="24"/>
                <w:highlight w:val="none"/>
                <w:lang w:val="en-US" w:eastAsia="zh-CN" w:bidi="ar-SA"/>
              </w:rPr>
            </w:pPr>
          </w:p>
        </w:tc>
      </w:tr>
      <w:tr w14:paraId="25D93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1567" w:type="dxa"/>
            <w:vMerge w:val="continue"/>
            <w:tcBorders>
              <w:top w:val="nil"/>
              <w:bottom w:val="single" w:color="000000" w:sz="6" w:space="0"/>
              <w:right w:val="single" w:color="000000" w:sz="6" w:space="0"/>
            </w:tcBorders>
            <w:shd w:val="clear" w:color="auto" w:fill="FFFFFF"/>
            <w:noWrap w:val="0"/>
            <w:vAlign w:val="center"/>
          </w:tcPr>
          <w:p w14:paraId="6B42D3EA">
            <w:pPr>
              <w:widowControl w:val="0"/>
              <w:jc w:val="both"/>
              <w:rPr>
                <w:rFonts w:hint="eastAsia" w:ascii="仿宋" w:hAnsi="仿宋" w:eastAsia="仿宋" w:cs="仿宋"/>
                <w:kern w:val="2"/>
                <w:sz w:val="24"/>
                <w:szCs w:val="24"/>
                <w:highlight w:val="none"/>
                <w:lang w:val="en-US" w:eastAsia="zh-CN" w:bidi="ar-SA"/>
              </w:rPr>
            </w:pPr>
          </w:p>
        </w:tc>
        <w:tc>
          <w:tcPr>
            <w:tcW w:w="2525"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1C80F43E">
            <w:pPr>
              <w:widowControl w:val="0"/>
              <w:spacing w:before="201"/>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房屋财产</w:t>
            </w:r>
          </w:p>
        </w:tc>
        <w:tc>
          <w:tcPr>
            <w:tcW w:w="2407" w:type="dxa"/>
            <w:tcBorders>
              <w:top w:val="single" w:color="000000" w:sz="6" w:space="0"/>
              <w:left w:val="single" w:color="000000" w:sz="6" w:space="0"/>
              <w:bottom w:val="single" w:color="000000" w:sz="6" w:space="0"/>
              <w:right w:val="single" w:color="000000" w:sz="6" w:space="0"/>
            </w:tcBorders>
            <w:shd w:val="clear" w:color="auto" w:fill="FFFFFF"/>
            <w:noWrap w:val="0"/>
            <w:vAlign w:val="center"/>
          </w:tcPr>
          <w:p w14:paraId="705E4ACF">
            <w:pPr>
              <w:widowControl w:val="0"/>
              <w:spacing w:before="201"/>
              <w:ind w:left="585"/>
              <w:jc w:val="both"/>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2 万/户</w:t>
            </w:r>
          </w:p>
        </w:tc>
        <w:tc>
          <w:tcPr>
            <w:tcW w:w="2561" w:type="dxa"/>
            <w:vMerge w:val="continue"/>
            <w:tcBorders>
              <w:top w:val="nil"/>
              <w:left w:val="single" w:color="000000" w:sz="6" w:space="0"/>
              <w:bottom w:val="single" w:color="000000" w:sz="6" w:space="0"/>
            </w:tcBorders>
            <w:shd w:val="clear" w:color="auto" w:fill="FFFFFF"/>
            <w:noWrap w:val="0"/>
            <w:vAlign w:val="center"/>
          </w:tcPr>
          <w:p w14:paraId="4F7C3623">
            <w:pPr>
              <w:widowControl w:val="0"/>
              <w:jc w:val="both"/>
              <w:rPr>
                <w:rFonts w:hint="eastAsia" w:ascii="仿宋" w:hAnsi="仿宋" w:eastAsia="仿宋" w:cs="仿宋"/>
                <w:kern w:val="2"/>
                <w:sz w:val="24"/>
                <w:szCs w:val="24"/>
                <w:highlight w:val="none"/>
                <w:lang w:val="en-US" w:eastAsia="zh-CN" w:bidi="ar-SA"/>
              </w:rPr>
            </w:pPr>
          </w:p>
        </w:tc>
      </w:tr>
    </w:tbl>
    <w:p w14:paraId="12B028F6">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（三）采购清单（最终以实际投保人数结算）</w:t>
      </w:r>
    </w:p>
    <w:tbl>
      <w:tblPr>
        <w:tblStyle w:val="2"/>
        <w:tblpPr w:leftFromText="180" w:rightFromText="180" w:vertAnchor="text" w:tblpXSpec="center" w:tblpY="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4"/>
        <w:gridCol w:w="1777"/>
        <w:gridCol w:w="1649"/>
        <w:gridCol w:w="1064"/>
        <w:gridCol w:w="1246"/>
        <w:gridCol w:w="856"/>
        <w:gridCol w:w="1539"/>
      </w:tblGrid>
      <w:tr w14:paraId="13F6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7" w:hRule="atLeast"/>
        </w:trPr>
        <w:tc>
          <w:tcPr>
            <w:tcW w:w="804" w:type="dxa"/>
            <w:shd w:val="clear" w:color="auto" w:fill="FFFFFF"/>
            <w:noWrap w:val="0"/>
            <w:vAlign w:val="top"/>
          </w:tcPr>
          <w:p w14:paraId="2BC3C183">
            <w:pPr>
              <w:widowControl w:val="0"/>
              <w:spacing w:before="76"/>
              <w:ind w:right="210"/>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kern w:val="2"/>
                <w:sz w:val="24"/>
                <w:szCs w:val="24"/>
                <w:highlight w:val="none"/>
                <w:lang w:val="en-US" w:eastAsia="zh-CN" w:bidi="ar-SA"/>
              </w:rPr>
              <w:t>序号</w:t>
            </w:r>
          </w:p>
        </w:tc>
        <w:tc>
          <w:tcPr>
            <w:tcW w:w="1777" w:type="dxa"/>
            <w:shd w:val="clear" w:color="auto" w:fill="FFFFFF"/>
            <w:noWrap w:val="0"/>
            <w:vAlign w:val="top"/>
          </w:tcPr>
          <w:p w14:paraId="0A15039F">
            <w:pPr>
              <w:widowControl w:val="0"/>
              <w:spacing w:before="76"/>
              <w:ind w:right="681"/>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kern w:val="2"/>
                <w:sz w:val="24"/>
                <w:szCs w:val="24"/>
                <w:highlight w:val="none"/>
                <w:lang w:val="en-US" w:eastAsia="zh-CN" w:bidi="ar-SA"/>
              </w:rPr>
              <w:t>名称</w:t>
            </w:r>
          </w:p>
        </w:tc>
        <w:tc>
          <w:tcPr>
            <w:tcW w:w="1649" w:type="dxa"/>
            <w:shd w:val="clear" w:color="auto" w:fill="FFFFFF"/>
            <w:noWrap w:val="0"/>
            <w:vAlign w:val="top"/>
          </w:tcPr>
          <w:p w14:paraId="639CF549">
            <w:pPr>
              <w:widowControl w:val="0"/>
              <w:spacing w:before="76"/>
              <w:ind w:right="181"/>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w w:val="95"/>
                <w:kern w:val="2"/>
                <w:sz w:val="24"/>
                <w:szCs w:val="24"/>
                <w:highlight w:val="none"/>
                <w:lang w:val="en-US" w:eastAsia="zh-CN" w:bidi="ar-SA"/>
              </w:rPr>
              <w:t>赔偿标准及要求</w:t>
            </w:r>
          </w:p>
        </w:tc>
        <w:tc>
          <w:tcPr>
            <w:tcW w:w="1064" w:type="dxa"/>
            <w:shd w:val="clear" w:color="auto" w:fill="FFFFFF"/>
            <w:noWrap w:val="0"/>
            <w:vAlign w:val="top"/>
          </w:tcPr>
          <w:p w14:paraId="7427717F">
            <w:pPr>
              <w:widowControl w:val="0"/>
              <w:spacing w:before="76"/>
              <w:ind w:left="149" w:right="144"/>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kern w:val="2"/>
                <w:sz w:val="24"/>
                <w:szCs w:val="24"/>
                <w:highlight w:val="none"/>
                <w:lang w:val="en-US" w:eastAsia="zh-CN" w:bidi="ar-SA"/>
              </w:rPr>
              <w:t>单位</w:t>
            </w:r>
          </w:p>
        </w:tc>
        <w:tc>
          <w:tcPr>
            <w:tcW w:w="1246" w:type="dxa"/>
            <w:shd w:val="clear" w:color="auto" w:fill="FFFFFF"/>
            <w:noWrap w:val="0"/>
            <w:vAlign w:val="top"/>
          </w:tcPr>
          <w:p w14:paraId="0CABDAE3">
            <w:pPr>
              <w:widowControl w:val="0"/>
              <w:spacing w:before="76"/>
              <w:ind w:left="199" w:right="193"/>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kern w:val="2"/>
                <w:sz w:val="24"/>
                <w:szCs w:val="24"/>
                <w:highlight w:val="none"/>
                <w:lang w:val="en-US" w:eastAsia="zh-CN" w:bidi="ar-SA"/>
              </w:rPr>
              <w:t>数量</w:t>
            </w:r>
          </w:p>
        </w:tc>
        <w:tc>
          <w:tcPr>
            <w:tcW w:w="856" w:type="dxa"/>
            <w:shd w:val="clear" w:color="auto" w:fill="FFFFFF"/>
            <w:noWrap w:val="0"/>
            <w:vAlign w:val="top"/>
          </w:tcPr>
          <w:p w14:paraId="7CC00D6F">
            <w:pPr>
              <w:widowControl w:val="0"/>
              <w:spacing w:before="76"/>
              <w:ind w:left="341"/>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kern w:val="2"/>
                <w:sz w:val="24"/>
                <w:szCs w:val="24"/>
                <w:highlight w:val="none"/>
                <w:lang w:val="en-US" w:eastAsia="zh-CN" w:bidi="ar-SA"/>
              </w:rPr>
              <w:t>单价</w:t>
            </w:r>
          </w:p>
        </w:tc>
        <w:tc>
          <w:tcPr>
            <w:tcW w:w="1539" w:type="dxa"/>
            <w:shd w:val="clear" w:color="auto" w:fill="FFFFFF"/>
            <w:noWrap w:val="0"/>
            <w:vAlign w:val="top"/>
          </w:tcPr>
          <w:p w14:paraId="4DE6DFFD">
            <w:pPr>
              <w:widowControl w:val="0"/>
              <w:spacing w:before="76"/>
              <w:ind w:right="592"/>
              <w:jc w:val="center"/>
              <w:rPr>
                <w:rFonts w:hint="eastAsia" w:ascii="仿宋" w:hAnsi="仿宋" w:eastAsia="仿宋" w:cs="仿宋"/>
                <w:b/>
                <w:kern w:val="2"/>
                <w:sz w:val="24"/>
                <w:szCs w:val="24"/>
                <w:highlight w:val="none"/>
                <w:lang w:val="zh-CN" w:eastAsia="zh-CN" w:bidi="zh-CN"/>
              </w:rPr>
            </w:pPr>
            <w:r>
              <w:rPr>
                <w:rFonts w:hint="eastAsia" w:ascii="仿宋" w:hAnsi="仿宋" w:eastAsia="仿宋" w:cs="仿宋"/>
                <w:b/>
                <w:kern w:val="2"/>
                <w:sz w:val="24"/>
                <w:szCs w:val="24"/>
                <w:highlight w:val="none"/>
                <w:lang w:val="en-US" w:eastAsia="zh-CN" w:bidi="ar-SA"/>
              </w:rPr>
              <w:t>总价</w:t>
            </w:r>
          </w:p>
        </w:tc>
      </w:tr>
      <w:tr w14:paraId="5EC75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0" w:hRule="atLeast"/>
        </w:trPr>
        <w:tc>
          <w:tcPr>
            <w:tcW w:w="804" w:type="dxa"/>
            <w:shd w:val="clear" w:color="auto" w:fill="FFFFFF"/>
            <w:noWrap w:val="0"/>
            <w:vAlign w:val="top"/>
          </w:tcPr>
          <w:p w14:paraId="0DB2E199">
            <w:pPr>
              <w:widowControl w:val="0"/>
              <w:jc w:val="center"/>
              <w:rPr>
                <w:rFonts w:hint="eastAsia" w:ascii="仿宋" w:hAnsi="仿宋" w:eastAsia="仿宋" w:cs="仿宋"/>
                <w:kern w:val="2"/>
                <w:sz w:val="24"/>
                <w:szCs w:val="24"/>
                <w:highlight w:val="none"/>
                <w:lang w:val="zh-CN" w:eastAsia="zh-CN" w:bidi="zh-CN"/>
              </w:rPr>
            </w:pPr>
          </w:p>
          <w:p w14:paraId="4E121A7E">
            <w:pPr>
              <w:widowControl w:val="0"/>
              <w:spacing w:before="196"/>
              <w:ind w:right="177"/>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1</w:t>
            </w:r>
          </w:p>
        </w:tc>
        <w:tc>
          <w:tcPr>
            <w:tcW w:w="1777" w:type="dxa"/>
            <w:shd w:val="clear" w:color="auto" w:fill="FFFFFF"/>
            <w:noWrap w:val="0"/>
            <w:vAlign w:val="top"/>
          </w:tcPr>
          <w:p w14:paraId="5309ADD4">
            <w:pPr>
              <w:widowControl w:val="0"/>
              <w:spacing w:before="13" w:line="562" w:lineRule="exact"/>
              <w:ind w:left="11" w:right="5"/>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小额人身及财产保险</w:t>
            </w:r>
          </w:p>
        </w:tc>
        <w:tc>
          <w:tcPr>
            <w:tcW w:w="1649" w:type="dxa"/>
            <w:shd w:val="clear" w:color="auto" w:fill="FFFFFF"/>
            <w:noWrap w:val="0"/>
            <w:vAlign w:val="center"/>
          </w:tcPr>
          <w:p w14:paraId="2B99E40B">
            <w:pPr>
              <w:widowControl w:val="0"/>
              <w:spacing w:before="196"/>
              <w:ind w:right="303"/>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见上</w:t>
            </w:r>
          </w:p>
        </w:tc>
        <w:tc>
          <w:tcPr>
            <w:tcW w:w="1064" w:type="dxa"/>
            <w:shd w:val="clear" w:color="auto" w:fill="FFFFFF"/>
            <w:noWrap w:val="0"/>
            <w:vAlign w:val="center"/>
          </w:tcPr>
          <w:p w14:paraId="51D58D9D">
            <w:pPr>
              <w:widowControl w:val="0"/>
              <w:spacing w:before="196"/>
              <w:ind w:left="149" w:right="144"/>
              <w:jc w:val="center"/>
              <w:rPr>
                <w:rFonts w:hint="eastAsia" w:ascii="仿宋" w:hAnsi="仿宋" w:eastAsia="仿宋" w:cs="仿宋"/>
                <w:kern w:val="2"/>
                <w:sz w:val="24"/>
                <w:szCs w:val="24"/>
                <w:highlight w:val="none"/>
                <w:lang w:val="zh-CN" w:eastAsia="zh-CN" w:bidi="zh-CN"/>
              </w:rPr>
            </w:pPr>
            <w:r>
              <w:rPr>
                <w:rFonts w:hint="eastAsia" w:ascii="仿宋" w:hAnsi="仿宋" w:eastAsia="仿宋" w:cs="仿宋"/>
                <w:kern w:val="2"/>
                <w:sz w:val="24"/>
                <w:szCs w:val="24"/>
                <w:highlight w:val="none"/>
                <w:lang w:val="en-US" w:eastAsia="zh-CN" w:bidi="ar-SA"/>
              </w:rPr>
              <w:t>元／人</w:t>
            </w:r>
          </w:p>
        </w:tc>
        <w:tc>
          <w:tcPr>
            <w:tcW w:w="1246" w:type="dxa"/>
            <w:shd w:val="clear" w:color="auto" w:fill="FFFFFF"/>
            <w:noWrap w:val="0"/>
            <w:vAlign w:val="center"/>
          </w:tcPr>
          <w:p w14:paraId="400A6413">
            <w:pPr>
              <w:widowControl w:val="0"/>
              <w:spacing w:before="196"/>
              <w:ind w:left="199" w:right="197"/>
              <w:jc w:val="center"/>
              <w:rPr>
                <w:rFonts w:hint="eastAsia" w:ascii="仿宋" w:hAnsi="仿宋" w:eastAsia="仿宋" w:cs="仿宋"/>
                <w:kern w:val="2"/>
                <w:sz w:val="24"/>
                <w:szCs w:val="24"/>
                <w:highlight w:val="none"/>
                <w:lang w:val="en-US" w:eastAsia="zh-CN" w:bidi="zh-CN"/>
              </w:rPr>
            </w:pPr>
            <w:r>
              <w:rPr>
                <w:rFonts w:hint="eastAsia" w:ascii="仿宋" w:hAnsi="仿宋" w:eastAsia="仿宋" w:cs="仿宋"/>
                <w:kern w:val="2"/>
                <w:sz w:val="24"/>
                <w:szCs w:val="24"/>
                <w:highlight w:val="none"/>
                <w:lang w:val="en-US" w:eastAsia="zh-CN" w:bidi="ar-SA"/>
              </w:rPr>
              <w:t>77458</w:t>
            </w:r>
          </w:p>
        </w:tc>
        <w:tc>
          <w:tcPr>
            <w:tcW w:w="856" w:type="dxa"/>
            <w:shd w:val="clear" w:color="auto" w:fill="FFFFFF"/>
            <w:noWrap w:val="0"/>
            <w:vAlign w:val="top"/>
          </w:tcPr>
          <w:p w14:paraId="2849450F">
            <w:pPr>
              <w:widowControl w:val="0"/>
              <w:jc w:val="center"/>
              <w:rPr>
                <w:rFonts w:hint="eastAsia" w:ascii="仿宋" w:hAnsi="仿宋" w:eastAsia="仿宋" w:cs="仿宋"/>
                <w:kern w:val="2"/>
                <w:sz w:val="24"/>
                <w:szCs w:val="24"/>
                <w:highlight w:val="none"/>
                <w:lang w:val="zh-CN" w:eastAsia="zh-CN" w:bidi="zh-CN"/>
              </w:rPr>
            </w:pPr>
          </w:p>
        </w:tc>
        <w:tc>
          <w:tcPr>
            <w:tcW w:w="1539" w:type="dxa"/>
            <w:shd w:val="clear" w:color="auto" w:fill="FFFFFF"/>
            <w:noWrap w:val="0"/>
            <w:vAlign w:val="top"/>
          </w:tcPr>
          <w:p w14:paraId="335ED6CB">
            <w:pPr>
              <w:widowControl w:val="0"/>
              <w:jc w:val="center"/>
              <w:rPr>
                <w:rFonts w:hint="eastAsia" w:ascii="仿宋" w:hAnsi="仿宋" w:eastAsia="仿宋" w:cs="仿宋"/>
                <w:kern w:val="2"/>
                <w:sz w:val="24"/>
                <w:szCs w:val="24"/>
                <w:highlight w:val="none"/>
                <w:lang w:val="zh-CN" w:eastAsia="zh-CN" w:bidi="zh-CN"/>
              </w:rPr>
            </w:pPr>
          </w:p>
        </w:tc>
      </w:tr>
    </w:tbl>
    <w:p w14:paraId="2B634808">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（四）工作流程</w:t>
      </w:r>
    </w:p>
    <w:p w14:paraId="6CD8618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1、出单流程</w:t>
      </w:r>
    </w:p>
    <w:p w14:paraId="17365416">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提供低收入户参保名单（包括姓名、身份证号码、家庭居住详细地址、联系电话等信息）实行集体统一投保。承保保险机构按照商定的保险方案和投保人员清单签订保险合同并出具保险合同和开具正规发票。区财政向商业保险机构划拨保险费，承保保险机构出具参保低收入人员保险凭证。</w:t>
      </w:r>
    </w:p>
    <w:p w14:paraId="585CF784">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2、理赔流程</w:t>
      </w:r>
    </w:p>
    <w:p w14:paraId="502F0CB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承保商业保险机构将严格按照“主动、迅速、准确、合理”的理赔服务基本原则， 优化操作流程，提高工作效率，确保项目理赔服务简便和高效。参保低收入人口发生保障范围内的保险事故后应第一时间向承保商业保险机构报案。承保商业保险机构将依托社会保险信息平台、大病保险服务团队、农网中心乡镇机构等服务网络机构优势， 全程服务参保人。具体理赔流程如下：</w:t>
      </w:r>
    </w:p>
    <w:p w14:paraId="39479F4F">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①40 种重大疾病首次诊断。参保低收入人口在保险期间内首次发病（不设置等待期）并被二级及以上医疗机构出具确诊符合约定的40种重大疾病的，凭借首次诊断确诊证明及相关检查报告到承保商业保险机构报销补偿。</w:t>
      </w:r>
    </w:p>
    <w:p w14:paraId="5537194B">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②意外伤害残疾、身故及因意外伤害保险。凭借意外伤害残疾、身故相关证明， 因意外伤害需要治疗产生的医疗费用，承保商业保险机构按照伤残等级、身故或医疗费用，在限额内按照标准予以赔付。</w:t>
      </w:r>
    </w:p>
    <w:p w14:paraId="45EABA88">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③家庭财产保险。因自然灾害或火灾等原因造成家庭财产损失的，经承保商业保险机构查勘确定损失，按照实际损失在责任限额内予以赔偿。</w:t>
      </w:r>
    </w:p>
    <w:p w14:paraId="789590DB">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注：①在赔付范围内应赔付而不赔付的，按赔付金额的3倍违约金。</w:t>
      </w:r>
    </w:p>
    <w:p w14:paraId="3E20AC72">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②不在赔付范围内而赔付的，按赔付金额的3倍违约金。</w:t>
      </w:r>
    </w:p>
    <w:p w14:paraId="7C2114D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kern w:val="2"/>
          <w:sz w:val="24"/>
          <w:szCs w:val="22"/>
          <w:highlight w:val="none"/>
          <w:lang w:val="en-US" w:eastAsia="zh-CN" w:bidi="ar-SA"/>
        </w:rPr>
        <w:t>五、</w:t>
      </w:r>
      <w:r>
        <w:rPr>
          <w:rFonts w:hint="eastAsia" w:ascii="仿宋" w:hAnsi="仿宋" w:eastAsia="仿宋" w:cs="仿宋"/>
          <w:b/>
          <w:color w:val="auto"/>
          <w:kern w:val="2"/>
          <w:sz w:val="24"/>
          <w:szCs w:val="24"/>
          <w:highlight w:val="none"/>
          <w:lang w:val="en-US" w:eastAsia="zh-CN" w:bidi="ar-SA"/>
        </w:rPr>
        <w:t>任务分工</w:t>
      </w:r>
    </w:p>
    <w:p w14:paraId="08833B0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低收入人口保险合同由宿迁市宿城区乡村振兴服务中心与中标的商业保险机构签订承保合同，保费按年一次性支付。明确双方的权利义务关系。因违反合同约定，或发生其他严重损害参保人权益的情况，合同双方可以提前终止或解除合同，并依法追究责任。</w:t>
      </w:r>
    </w:p>
    <w:p w14:paraId="4EC2B7D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（二）区财政、审计等部门加强对低收入人口保险资金的监管，对承办低收入人口保险的商业保险机构资金使用情况及财务盈亏进行审计，加强对承办低收入人口保险的商业保险机构监督，确保资金安全运行。</w:t>
      </w:r>
    </w:p>
    <w:p w14:paraId="7D67D0CD">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w:t>
      </w:r>
      <w:bookmarkStart w:id="0" w:name="_GoBack"/>
      <w:bookmarkEnd w:id="0"/>
      <w:r>
        <w:rPr>
          <w:rFonts w:hint="eastAsia" w:ascii="仿宋" w:hAnsi="仿宋" w:eastAsia="仿宋" w:cs="仿宋"/>
          <w:color w:val="auto"/>
          <w:kern w:val="2"/>
          <w:sz w:val="24"/>
          <w:szCs w:val="24"/>
          <w:highlight w:val="none"/>
          <w:lang w:val="en-US" w:eastAsia="zh-CN" w:bidi="ar-SA"/>
        </w:rPr>
        <w:t>要做好低收入人口保险与基本医疗保障、城乡居民大病保险及补充保险、医疗救助的衔接，建立信息通报制度，及时掌握大病患者医疗费用支付情况。宿迁市宿城区乡村振兴服务中心牵头，建立举报奖励机制，营造社会监督氛围，公开并畅通投诉受理渠道，充分发挥参保人员及媒体的舆论监督作用。</w:t>
      </w:r>
    </w:p>
    <w:p w14:paraId="61FE21D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商业保险机构要提高服务效率，派驻专职人员到乡镇履行工作职责，并承担因管理低收入人口保险获取的个人信息保密义务。商业保险机构开展本项业务，要确保做到公益运营。设立赔付风险预警机制，按照总保费的 85%作为风险警戒线，亏损自负，赔付率低于 85%的，结余的部分全部退回区财政，确保本项业务长效运作。</w:t>
      </w:r>
    </w:p>
    <w:p w14:paraId="1DC5E9B9">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采购人有权定期或不定期对成交人服务承诺履行情况进行监督检查。有权委托审计部门对成交人开展本项业务后的财务收支情况进行审计。成交人对采购人提供的被保险人信息以及相关资料承担保密责任，不得用于其他用途，不得向第三方泄露。成交人应每月向采购人提交低收入人口保险赔付情况表(表样由采购人提供)， 按年度提交总结报告。未经采购人书面同意，成交人不得将本保险合同业务转包。</w:t>
      </w:r>
    </w:p>
    <w:p w14:paraId="3ED5D2A2">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（六）成交人向采购人提供保险保单，可提供 1 份总保单，并以户为单位出具保险清单，清单内容包括户主及家庭成员姓名信息、理赔内容、理赔流程、联系电话、监督电话等，并加盖公司业务专用章。</w:t>
      </w:r>
    </w:p>
    <w:p w14:paraId="4721289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附：40 种重大疾病：</w:t>
      </w:r>
    </w:p>
    <w:p w14:paraId="6EBC491F">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恶性肿瘤；2.急性心肌梗塞；3.脑中风后遗症；4.重大器官移植术或造血干细胞移植术；5.冠状动脉搭桥术（或称冠状动脉旁路移植术）；6.终末期肾病；7.多个肢体缺失；8.急性或亚急性重症肝炎；9.良性脑肿瘤；10.慢性肝功能衰竭失代偿期； 11.脑炎后遗症或脑膜炎后遗症；12.深度昏迷；13.双耳失聪；14.双目失明；15.瘫痪；16.心脏瓣膜手术；17.严重阿尔茨海默病；18.严重脑损伤；19.严重帕金森病；20.严重 III 度烧伤；21.严重原发性肺动脉高压；22.严重运动神经元病；23.语言能力丧失；24.重型再生障碍性贫血；25.主动脉手术；26.肌营养不良症；27.细菌性脑脊髓膜炎；28.多发性硬化；29.胰岛素依赖型糖尿病；30.急性坏死性胰腺炎；31.经输血感染艾滋病病毒；32.脑动脉瘤开颅手术；33.侵蚀性葡萄胎（或称恶性葡萄胎）； 34.终末期肺病；35.脊髓灰质炎；36.系统性红斑狼疮兵法狼疮性肾炎；37.原发性心肌病；38.植物人；39.严重溃疡性结肠炎；40.重症肌无力。</w:t>
      </w:r>
    </w:p>
    <w:p w14:paraId="4F54DEE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kern w:val="2"/>
          <w:sz w:val="24"/>
          <w:szCs w:val="22"/>
          <w:highlight w:val="none"/>
          <w:lang w:val="en-US" w:eastAsia="zh-CN" w:bidi="ar-SA"/>
        </w:rPr>
        <w:t>六、</w:t>
      </w:r>
      <w:r>
        <w:rPr>
          <w:rFonts w:hint="eastAsia" w:ascii="仿宋" w:hAnsi="仿宋" w:eastAsia="仿宋" w:cs="仿宋"/>
          <w:b/>
          <w:color w:val="auto"/>
          <w:kern w:val="2"/>
          <w:sz w:val="24"/>
          <w:szCs w:val="24"/>
          <w:highlight w:val="none"/>
          <w:lang w:val="en-US" w:eastAsia="zh-CN" w:bidi="ar-SA"/>
        </w:rPr>
        <w:t>服务质量要求：合格。</w:t>
      </w:r>
    </w:p>
    <w:p w14:paraId="1335B243">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kern w:val="2"/>
          <w:sz w:val="24"/>
          <w:szCs w:val="22"/>
          <w:highlight w:val="none"/>
          <w:lang w:val="en-US" w:eastAsia="zh-CN" w:bidi="ar-SA"/>
        </w:rPr>
        <w:t>七、验收要求</w:t>
      </w:r>
    </w:p>
    <w:p w14:paraId="4E1FEA23">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zh-CN" w:eastAsia="zh-CN" w:bidi="ar-SA"/>
        </w:rPr>
        <w:t>符合采购人有关要求，符合项目验收标准后，采购人 3 个工作日内组织验收，并出具验收书。</w:t>
      </w:r>
    </w:p>
    <w:p w14:paraId="74FDB51D">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仿宋" w:hAnsi="仿宋" w:eastAsia="仿宋" w:cs="仿宋"/>
          <w:b/>
          <w:color w:val="auto"/>
          <w:kern w:val="2"/>
          <w:sz w:val="24"/>
          <w:szCs w:val="22"/>
          <w:highlight w:val="none"/>
          <w:lang w:val="en-US" w:eastAsia="zh-CN" w:bidi="ar-SA"/>
        </w:rPr>
      </w:pPr>
      <w:r>
        <w:rPr>
          <w:rFonts w:hint="eastAsia" w:ascii="仿宋" w:hAnsi="仿宋" w:eastAsia="仿宋" w:cs="仿宋"/>
          <w:b/>
          <w:color w:val="auto"/>
          <w:kern w:val="2"/>
          <w:sz w:val="24"/>
          <w:szCs w:val="22"/>
          <w:highlight w:val="none"/>
          <w:lang w:val="en-US" w:eastAsia="zh-CN" w:bidi="ar-SA"/>
        </w:rPr>
        <w:t>八、</w:t>
      </w:r>
      <w:r>
        <w:rPr>
          <w:rFonts w:hint="eastAsia" w:ascii="仿宋" w:hAnsi="仿宋" w:eastAsia="仿宋" w:cs="仿宋"/>
          <w:b/>
          <w:color w:val="auto"/>
          <w:kern w:val="2"/>
          <w:sz w:val="24"/>
          <w:szCs w:val="24"/>
          <w:highlight w:val="none"/>
          <w:lang w:val="en-US" w:eastAsia="zh-CN" w:bidi="ar-SA"/>
        </w:rPr>
        <w:t>其他要求</w:t>
      </w:r>
    </w:p>
    <w:p w14:paraId="3CCF1613">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（一）报价要求</w:t>
      </w:r>
    </w:p>
    <w:p w14:paraId="5153BBFF">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供应商报价时应充分考虑所有可能影响到报价的价格因素，一旦评标结束最终成交，总价将包定，不予调整。如发生漏、缺、少项，都将被认为是成交人的报价让利行为，损失自负。</w:t>
      </w:r>
    </w:p>
    <w:p w14:paraId="2ED39B37">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（二）项目实施要求</w:t>
      </w:r>
    </w:p>
    <w:p w14:paraId="187EB119">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1.承保服务方案措施</w:t>
      </w:r>
    </w:p>
    <w:p w14:paraId="1FD7F50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供应商针对本项目提供承保服务方案措施，包括但不限于提供专业服务团队上门服务、简化索赔手续、结案速度、特色服务及超值服务。</w:t>
      </w:r>
    </w:p>
    <w:p w14:paraId="75078CD1">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2.理赔服务方案措施</w:t>
      </w:r>
    </w:p>
    <w:p w14:paraId="2137F62E">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供应商针对本项目提供理赔服务方案措施，包括但不限于服务范围、响应时间应急处理方案。</w:t>
      </w:r>
    </w:p>
    <w:p w14:paraId="2B1EF9F8">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3.专业服务团队</w:t>
      </w:r>
    </w:p>
    <w:p w14:paraId="05475EF0">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rtl w:val="0"/>
          <w:lang w:val="en-US" w:eastAsia="zh-CN" w:bidi="ar-SA"/>
        </w:rPr>
        <w:t>成立本项目专项服务团队，由供应商机构副总以上领导担任组长。</w:t>
      </w:r>
    </w:p>
    <w:p w14:paraId="746A1973">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4.保险宣传</w:t>
      </w:r>
    </w:p>
    <w:p w14:paraId="35F8EC94">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供应商针对本项目提供保险宣传，包括但不限于宣传形式、宣传方案。</w:t>
      </w:r>
    </w:p>
    <w:p w14:paraId="21C7D56F">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5.售后服务</w:t>
      </w:r>
    </w:p>
    <w:p w14:paraId="12719707">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供应商针对本项目提供售后服务，包括但不限于服务方式、响应时间、售后服务承诺。</w:t>
      </w:r>
    </w:p>
    <w:p w14:paraId="1E8CCEFA">
      <w:pPr>
        <w:keepNext w:val="0"/>
        <w:keepLines w:val="0"/>
        <w:pageBreakBefore w:val="0"/>
        <w:widowControl w:val="0"/>
        <w:kinsoku/>
        <w:wordWrap/>
        <w:overflowPunct/>
        <w:topLinePunct w:val="0"/>
        <w:autoSpaceDE/>
        <w:autoSpaceDN/>
        <w:bidi w:val="0"/>
        <w:adjustRightInd/>
        <w:snapToGrid/>
        <w:spacing w:line="500" w:lineRule="exact"/>
        <w:ind w:right="0" w:rightChars="0" w:firstLine="482" w:firstLineChars="200"/>
        <w:jc w:val="both"/>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九、采购标的需实现的功能或者目标，以及为落实政府采购政策需满足的要求。</w:t>
      </w:r>
    </w:p>
    <w:p w14:paraId="278F23E5">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1.采购本国货物、工程和服务</w:t>
      </w:r>
    </w:p>
    <w:p w14:paraId="752574C2">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1.1政府采购应当采购本国货物、工程和服务，但有《中华人民共和国政府采购法》第十条规定情形的除外。</w:t>
      </w:r>
    </w:p>
    <w:p w14:paraId="359ED431">
      <w:pPr>
        <w:rPr>
          <w:rFonts w:hint="eastAsia" w:ascii="仿宋" w:hAnsi="仿宋" w:eastAsia="仿宋" w:cs="仿宋"/>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412742"/>
    <w:rsid w:val="50115D0E"/>
    <w:rsid w:val="6D356C77"/>
    <w:rsid w:val="748D3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3376</Words>
  <Characters>3518</Characters>
  <Lines>0</Lines>
  <Paragraphs>0</Paragraphs>
  <TotalTime>0</TotalTime>
  <ScaleCrop>false</ScaleCrop>
  <LinksUpToDate>false</LinksUpToDate>
  <CharactersWithSpaces>3571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2025-04-01T06:51:00Z</dcterms:created>
  <dc:creator>Administrator</dc:creator>
  <cp:lastModifiedBy>RERE</cp:lastModifiedBy>
  <dcterms:modified xsi:type="dcterms:W3CDTF">2025-04-27T08:20:17Z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eyJoZGlkIjoiNTgyZWE5NjlhY2JhYTYzNThiOGEyOWEzNTI5ZWY3N2MiLCJ1c2VySWQiOiIyNzA1NTgyNDQifQ==</vt:lpwstr>
  </property>
  <property fmtid="{D5CDD505-2E9C-101B-9397-08002B2CF9AE}" pid="4" name="ICV">
    <vt:lpwstr>B90B826326024EDD88FBBACD64C04340_13</vt:lpwstr>
  </property>
</Properties>
</file>